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b/>
          <w:bCs/>
          <w:color w:val="000000"/>
          <w:kern w:val="0"/>
          <w:sz w:val="36"/>
          <w:szCs w:val="36"/>
          <w:lang w:val="en-US" w:eastAsia="zh-CN"/>
        </w:rPr>
      </w:pPr>
      <w:r>
        <w:rPr>
          <w:rFonts w:ascii="Times New Roman" w:hAnsi="Times New Roman" w:eastAsia="黑体"/>
          <w:color w:val="000000"/>
          <w:kern w:val="0"/>
          <w:sz w:val="32"/>
          <w:szCs w:val="32"/>
        </w:rPr>
        <w:t>附件</w:t>
      </w:r>
      <w:r>
        <w:rPr>
          <w:rFonts w:hint="eastAsia" w:ascii="Times New Roman" w:hAnsi="Times New Roman" w:eastAsia="黑体"/>
          <w:color w:val="000000"/>
          <w:kern w:val="0"/>
          <w:sz w:val="32"/>
          <w:szCs w:val="32"/>
          <w:lang w:val="en-US" w:eastAsia="zh-CN"/>
        </w:rPr>
        <w:t>4</w:t>
      </w:r>
    </w:p>
    <w:p>
      <w:pPr>
        <w:widowControl/>
        <w:jc w:val="center"/>
        <w:rPr>
          <w:rFonts w:ascii="Times New Roman" w:hAnsi="Times New Roman"/>
          <w:b/>
          <w:bCs/>
          <w:color w:val="000000"/>
          <w:kern w:val="0"/>
          <w:sz w:val="36"/>
          <w:szCs w:val="36"/>
        </w:rPr>
      </w:pPr>
      <w:r>
        <w:rPr>
          <w:rFonts w:ascii="Times New Roman" w:hAnsi="Times New Roman"/>
          <w:b/>
          <w:bCs/>
          <w:color w:val="000000"/>
          <w:kern w:val="0"/>
          <w:sz w:val="36"/>
          <w:szCs w:val="36"/>
        </w:rPr>
        <w:t>考试收费标准</w:t>
      </w:r>
    </w:p>
    <w:tbl>
      <w:tblPr>
        <w:tblStyle w:val="2"/>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0"/>
        <w:gridCol w:w="2546"/>
        <w:gridCol w:w="203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84" w:type="dxa"/>
            <w:vMerge w:val="restart"/>
            <w:tcBorders>
              <w:top w:val="single" w:color="auto" w:sz="4" w:space="0"/>
              <w:left w:val="single" w:color="auto" w:sz="4" w:space="0"/>
              <w:right w:val="single" w:color="auto" w:sz="4" w:space="0"/>
            </w:tcBorders>
            <w:noWrap w:val="0"/>
            <w:vAlign w:val="center"/>
          </w:tcPr>
          <w:p>
            <w:pPr>
              <w:jc w:val="center"/>
              <w:rPr>
                <w:rFonts w:eastAsia="黑体"/>
                <w:b/>
                <w:bCs/>
                <w:color w:val="000000"/>
                <w:szCs w:val="21"/>
              </w:rPr>
            </w:pPr>
            <w:r>
              <w:rPr>
                <w:rFonts w:eastAsia="黑体"/>
                <w:b/>
                <w:bCs/>
                <w:color w:val="000000"/>
                <w:szCs w:val="21"/>
              </w:rPr>
              <w:t>考试</w:t>
            </w:r>
          </w:p>
          <w:p>
            <w:pPr>
              <w:jc w:val="center"/>
              <w:rPr>
                <w:rFonts w:eastAsia="黑体"/>
                <w:color w:val="000000"/>
                <w:szCs w:val="21"/>
              </w:rPr>
            </w:pPr>
            <w:r>
              <w:rPr>
                <w:rFonts w:eastAsia="黑体"/>
                <w:b/>
                <w:bCs/>
                <w:color w:val="000000"/>
                <w:szCs w:val="21"/>
              </w:rPr>
              <w:t>项目</w:t>
            </w:r>
          </w:p>
        </w:tc>
        <w:tc>
          <w:tcPr>
            <w:tcW w:w="4246" w:type="dxa"/>
            <w:gridSpan w:val="2"/>
            <w:tcBorders>
              <w:top w:val="single" w:color="auto" w:sz="4" w:space="0"/>
              <w:left w:val="single" w:color="auto" w:sz="4" w:space="0"/>
              <w:right w:val="single" w:color="auto" w:sz="4" w:space="0"/>
            </w:tcBorders>
            <w:noWrap w:val="0"/>
            <w:vAlign w:val="center"/>
          </w:tcPr>
          <w:p>
            <w:pPr>
              <w:jc w:val="center"/>
              <w:rPr>
                <w:rFonts w:eastAsia="黑体"/>
                <w:color w:val="000000"/>
                <w:szCs w:val="21"/>
              </w:rPr>
            </w:pPr>
            <w:r>
              <w:rPr>
                <w:rFonts w:eastAsia="黑体"/>
                <w:b/>
                <w:bCs/>
                <w:color w:val="000000"/>
                <w:szCs w:val="21"/>
              </w:rPr>
              <w:t>收费标准</w:t>
            </w:r>
          </w:p>
        </w:tc>
        <w:tc>
          <w:tcPr>
            <w:tcW w:w="2038" w:type="dxa"/>
            <w:vMerge w:val="restart"/>
            <w:tcBorders>
              <w:top w:val="single" w:color="auto" w:sz="4" w:space="0"/>
              <w:left w:val="single" w:color="auto" w:sz="4" w:space="0"/>
              <w:right w:val="single" w:color="auto" w:sz="4" w:space="0"/>
            </w:tcBorders>
            <w:noWrap w:val="0"/>
            <w:vAlign w:val="center"/>
          </w:tcPr>
          <w:p>
            <w:pPr>
              <w:jc w:val="center"/>
              <w:rPr>
                <w:rFonts w:eastAsia="黑体"/>
                <w:color w:val="000000"/>
                <w:szCs w:val="21"/>
              </w:rPr>
            </w:pPr>
            <w:r>
              <w:rPr>
                <w:rFonts w:eastAsia="黑体"/>
                <w:b/>
                <w:bCs/>
                <w:color w:val="000000"/>
                <w:szCs w:val="21"/>
              </w:rPr>
              <w:t>收费依据</w:t>
            </w:r>
          </w:p>
        </w:tc>
        <w:tc>
          <w:tcPr>
            <w:tcW w:w="1716" w:type="dxa"/>
            <w:vMerge w:val="restart"/>
            <w:tcBorders>
              <w:top w:val="single" w:color="auto" w:sz="4" w:space="0"/>
              <w:left w:val="single" w:color="auto" w:sz="4" w:space="0"/>
              <w:right w:val="single" w:color="auto" w:sz="4" w:space="0"/>
            </w:tcBorders>
            <w:noWrap w:val="0"/>
            <w:vAlign w:val="top"/>
          </w:tcPr>
          <w:p>
            <w:pPr>
              <w:jc w:val="center"/>
              <w:rPr>
                <w:rFonts w:eastAsia="黑体"/>
                <w:b/>
                <w:bCs/>
                <w:color w:val="000000"/>
                <w:szCs w:val="21"/>
              </w:rPr>
            </w:pPr>
          </w:p>
          <w:p>
            <w:pPr>
              <w:jc w:val="center"/>
              <w:rPr>
                <w:rFonts w:eastAsia="黑体"/>
                <w:b/>
                <w:bCs/>
                <w:color w:val="000000"/>
                <w:szCs w:val="21"/>
              </w:rPr>
            </w:pPr>
          </w:p>
          <w:p>
            <w:pPr>
              <w:jc w:val="center"/>
              <w:rPr>
                <w:rFonts w:eastAsia="黑体"/>
                <w:b/>
                <w:bCs/>
                <w:color w:val="000000"/>
                <w:szCs w:val="21"/>
              </w:rPr>
            </w:pPr>
            <w:r>
              <w:rPr>
                <w:rFonts w:eastAsia="黑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84" w:type="dxa"/>
            <w:vMerge w:val="continue"/>
            <w:tcBorders>
              <w:left w:val="single" w:color="auto" w:sz="4" w:space="0"/>
              <w:bottom w:val="single" w:color="auto" w:sz="4" w:space="0"/>
              <w:right w:val="single" w:color="auto" w:sz="4" w:space="0"/>
            </w:tcBorders>
            <w:noWrap w:val="0"/>
            <w:vAlign w:val="center"/>
          </w:tcPr>
          <w:p>
            <w:pPr>
              <w:jc w:val="center"/>
              <w:rPr>
                <w:rFonts w:eastAsia="黑体"/>
                <w:b/>
                <w:bCs/>
                <w:color w:val="000000"/>
                <w:szCs w:val="21"/>
              </w:rPr>
            </w:pPr>
          </w:p>
        </w:tc>
        <w:tc>
          <w:tcPr>
            <w:tcW w:w="1700" w:type="dxa"/>
            <w:tcBorders>
              <w:top w:val="single" w:color="auto" w:sz="4" w:space="0"/>
              <w:left w:val="single" w:color="auto" w:sz="4" w:space="0"/>
              <w:right w:val="single" w:color="auto" w:sz="4" w:space="0"/>
            </w:tcBorders>
            <w:noWrap w:val="0"/>
            <w:vAlign w:val="center"/>
          </w:tcPr>
          <w:p>
            <w:pPr>
              <w:jc w:val="center"/>
              <w:rPr>
                <w:rFonts w:eastAsia="黑体"/>
                <w:b/>
                <w:bCs/>
                <w:color w:val="000000"/>
                <w:szCs w:val="21"/>
              </w:rPr>
            </w:pPr>
            <w:r>
              <w:rPr>
                <w:rFonts w:eastAsia="黑体"/>
                <w:b/>
                <w:bCs/>
                <w:color w:val="000000"/>
                <w:szCs w:val="21"/>
              </w:rPr>
              <w:t>考务费</w:t>
            </w:r>
          </w:p>
        </w:tc>
        <w:tc>
          <w:tcPr>
            <w:tcW w:w="2546" w:type="dxa"/>
            <w:tcBorders>
              <w:top w:val="single" w:color="auto" w:sz="4" w:space="0"/>
              <w:left w:val="single" w:color="auto" w:sz="4" w:space="0"/>
              <w:right w:val="single" w:color="auto" w:sz="4" w:space="0"/>
            </w:tcBorders>
            <w:noWrap w:val="0"/>
            <w:vAlign w:val="center"/>
          </w:tcPr>
          <w:p>
            <w:pPr>
              <w:jc w:val="center"/>
              <w:rPr>
                <w:rFonts w:eastAsia="黑体"/>
                <w:color w:val="000000"/>
                <w:szCs w:val="21"/>
              </w:rPr>
            </w:pPr>
            <w:r>
              <w:rPr>
                <w:rFonts w:eastAsia="黑体"/>
                <w:b/>
                <w:bCs/>
                <w:color w:val="000000"/>
                <w:szCs w:val="21"/>
              </w:rPr>
              <w:t>考试费</w:t>
            </w:r>
          </w:p>
        </w:tc>
        <w:tc>
          <w:tcPr>
            <w:tcW w:w="2038" w:type="dxa"/>
            <w:vMerge w:val="continue"/>
            <w:tcBorders>
              <w:left w:val="single" w:color="auto" w:sz="4" w:space="0"/>
              <w:bottom w:val="single" w:color="auto" w:sz="4" w:space="0"/>
              <w:right w:val="single" w:color="auto" w:sz="4" w:space="0"/>
            </w:tcBorders>
            <w:noWrap w:val="0"/>
            <w:vAlign w:val="center"/>
          </w:tcPr>
          <w:p>
            <w:pPr>
              <w:jc w:val="center"/>
              <w:rPr>
                <w:rFonts w:eastAsia="黑体"/>
                <w:b/>
                <w:bCs/>
                <w:color w:val="000000"/>
                <w:szCs w:val="21"/>
              </w:rPr>
            </w:pPr>
          </w:p>
        </w:tc>
        <w:tc>
          <w:tcPr>
            <w:tcW w:w="1716" w:type="dxa"/>
            <w:vMerge w:val="continue"/>
            <w:tcBorders>
              <w:left w:val="single" w:color="auto" w:sz="4" w:space="0"/>
              <w:bottom w:val="single" w:color="auto" w:sz="4" w:space="0"/>
              <w:right w:val="single" w:color="auto" w:sz="4" w:space="0"/>
            </w:tcBorders>
            <w:noWrap w:val="0"/>
            <w:vAlign w:val="top"/>
          </w:tcPr>
          <w:p>
            <w:pPr>
              <w:jc w:val="center"/>
              <w:rPr>
                <w:rFonts w:eastAsia="黑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jc w:val="center"/>
        </w:trPr>
        <w:tc>
          <w:tcPr>
            <w:tcW w:w="1384" w:type="dxa"/>
            <w:tcBorders>
              <w:left w:val="single" w:color="auto" w:sz="4" w:space="0"/>
              <w:bottom w:val="single" w:color="auto" w:sz="4" w:space="0"/>
              <w:right w:val="single" w:color="auto" w:sz="4" w:space="0"/>
            </w:tcBorders>
            <w:noWrap w:val="0"/>
            <w:vAlign w:val="center"/>
          </w:tcPr>
          <w:p>
            <w:pPr>
              <w:jc w:val="center"/>
              <w:rPr>
                <w:rFonts w:eastAsia="黑体"/>
                <w:b/>
                <w:bCs/>
                <w:color w:val="000000"/>
                <w:szCs w:val="21"/>
              </w:rPr>
            </w:pPr>
            <w:r>
              <w:rPr>
                <w:b/>
                <w:bCs/>
                <w:color w:val="000000"/>
                <w:szCs w:val="21"/>
              </w:rPr>
              <w:t>一级注册消防工程师</w:t>
            </w:r>
          </w:p>
        </w:tc>
        <w:tc>
          <w:tcPr>
            <w:tcW w:w="1700" w:type="dxa"/>
            <w:tcBorders>
              <w:top w:val="single" w:color="auto" w:sz="4" w:space="0"/>
              <w:left w:val="single" w:color="auto" w:sz="4" w:space="0"/>
              <w:right w:val="single" w:color="auto" w:sz="4" w:space="0"/>
            </w:tcBorders>
            <w:noWrap w:val="0"/>
            <w:vAlign w:val="center"/>
          </w:tcPr>
          <w:p>
            <w:pPr>
              <w:rPr>
                <w:bCs/>
                <w:color w:val="000000"/>
                <w:szCs w:val="21"/>
              </w:rPr>
            </w:pPr>
            <w:r>
              <w:rPr>
                <w:bCs/>
                <w:color w:val="000000"/>
                <w:szCs w:val="21"/>
              </w:rPr>
              <w:t>客观题科目每人每科1</w:t>
            </w:r>
            <w:r>
              <w:rPr>
                <w:rFonts w:hint="eastAsia"/>
                <w:bCs/>
                <w:color w:val="000000"/>
                <w:szCs w:val="21"/>
                <w:lang w:val="en-US" w:eastAsia="zh-CN"/>
              </w:rPr>
              <w:t>5</w:t>
            </w:r>
            <w:r>
              <w:rPr>
                <w:bCs/>
                <w:color w:val="000000"/>
                <w:szCs w:val="21"/>
              </w:rPr>
              <w:t>元</w:t>
            </w:r>
          </w:p>
          <w:p>
            <w:pPr>
              <w:rPr>
                <w:rFonts w:eastAsia="黑体"/>
                <w:b/>
                <w:bCs/>
                <w:color w:val="000000"/>
                <w:szCs w:val="21"/>
              </w:rPr>
            </w:pPr>
            <w:r>
              <w:rPr>
                <w:bCs/>
                <w:color w:val="000000"/>
                <w:szCs w:val="21"/>
              </w:rPr>
              <w:t>主观题科目每人每科19元</w:t>
            </w:r>
          </w:p>
        </w:tc>
        <w:tc>
          <w:tcPr>
            <w:tcW w:w="2546" w:type="dxa"/>
            <w:tcBorders>
              <w:top w:val="single" w:color="auto" w:sz="4" w:space="0"/>
              <w:left w:val="single" w:color="auto" w:sz="4" w:space="0"/>
              <w:right w:val="single" w:color="auto" w:sz="4" w:space="0"/>
            </w:tcBorders>
            <w:noWrap w:val="0"/>
            <w:vAlign w:val="center"/>
          </w:tcPr>
          <w:p>
            <w:pPr>
              <w:rPr>
                <w:bCs/>
                <w:color w:val="000000"/>
                <w:szCs w:val="21"/>
              </w:rPr>
            </w:pPr>
            <w:r>
              <w:rPr>
                <w:bCs/>
                <w:color w:val="000000"/>
                <w:szCs w:val="21"/>
              </w:rPr>
              <w:t>客观题科目每人每科60元</w:t>
            </w:r>
          </w:p>
          <w:p>
            <w:pPr>
              <w:rPr>
                <w:bCs/>
                <w:color w:val="000000"/>
                <w:szCs w:val="21"/>
              </w:rPr>
            </w:pPr>
            <w:r>
              <w:rPr>
                <w:bCs/>
                <w:color w:val="000000"/>
                <w:szCs w:val="21"/>
              </w:rPr>
              <w:t>主观题科目每人每科</w:t>
            </w:r>
            <w:r>
              <w:rPr>
                <w:rFonts w:hint="eastAsia"/>
                <w:bCs/>
                <w:color w:val="000000"/>
                <w:szCs w:val="21"/>
              </w:rPr>
              <w:t>6</w:t>
            </w:r>
            <w:r>
              <w:rPr>
                <w:bCs/>
                <w:color w:val="000000"/>
                <w:szCs w:val="21"/>
              </w:rPr>
              <w:t>0元</w:t>
            </w:r>
          </w:p>
        </w:tc>
        <w:tc>
          <w:tcPr>
            <w:tcW w:w="2038" w:type="dxa"/>
            <w:tcBorders>
              <w:left w:val="single" w:color="auto" w:sz="4" w:space="0"/>
              <w:bottom w:val="single" w:color="auto" w:sz="4" w:space="0"/>
              <w:right w:val="single" w:color="auto" w:sz="4" w:space="0"/>
            </w:tcBorders>
            <w:noWrap w:val="0"/>
            <w:vAlign w:val="center"/>
          </w:tcPr>
          <w:p>
            <w:pPr>
              <w:rPr>
                <w:rFonts w:eastAsia="黑体"/>
                <w:b/>
                <w:bCs/>
                <w:color w:val="000000"/>
                <w:szCs w:val="21"/>
              </w:rPr>
            </w:pPr>
            <w:r>
              <w:rPr>
                <w:kern w:val="0"/>
                <w:szCs w:val="21"/>
              </w:rPr>
              <w:t>《人力资源社会保障部办公厅关于下发执业药师资格考试等18项专业技术人员资格考试考务费收费标准的通知》（人社厅函〔2015〕278号）和吉省价收函字〔2016〕248号</w:t>
            </w:r>
          </w:p>
        </w:tc>
        <w:tc>
          <w:tcPr>
            <w:tcW w:w="1716" w:type="dxa"/>
            <w:tcBorders>
              <w:left w:val="single" w:color="auto" w:sz="4" w:space="0"/>
              <w:bottom w:val="single" w:color="auto" w:sz="4" w:space="0"/>
              <w:right w:val="single" w:color="auto" w:sz="4" w:space="0"/>
            </w:tcBorders>
            <w:noWrap w:val="0"/>
            <w:vAlign w:val="top"/>
          </w:tcPr>
          <w:p>
            <w:pPr>
              <w:jc w:val="center"/>
              <w:rPr>
                <w:kern w:val="0"/>
                <w:szCs w:val="21"/>
              </w:rPr>
            </w:pPr>
          </w:p>
          <w:p>
            <w:pPr>
              <w:jc w:val="center"/>
              <w:rPr>
                <w:kern w:val="0"/>
                <w:szCs w:val="21"/>
              </w:rPr>
            </w:pPr>
          </w:p>
          <w:p>
            <w:pPr>
              <w:jc w:val="center"/>
              <w:rPr>
                <w:kern w:val="0"/>
                <w:szCs w:val="21"/>
              </w:rPr>
            </w:pPr>
          </w:p>
          <w:p>
            <w:pPr>
              <w:jc w:val="both"/>
              <w:rPr>
                <w:rFonts w:eastAsia="黑体"/>
                <w:b/>
                <w:bCs/>
                <w:color w:val="000000"/>
                <w:szCs w:val="21"/>
              </w:rPr>
            </w:pPr>
            <w:r>
              <w:rPr>
                <w:kern w:val="0"/>
                <w:szCs w:val="21"/>
              </w:rPr>
              <w:t>承担考试报名任务的市州留用考务费4元/科。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exac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ascii="Times New Roman" w:hAnsi="Times New Roman"/>
                <w:b/>
                <w:bCs/>
                <w:color w:val="000000"/>
                <w:szCs w:val="21"/>
              </w:rPr>
              <w:t>翻译</w:t>
            </w:r>
          </w:p>
          <w:p>
            <w:pPr>
              <w:jc w:val="center"/>
              <w:rPr>
                <w:rFonts w:ascii="Times New Roman" w:hAnsi="Times New Roman"/>
                <w:b/>
                <w:bCs/>
                <w:color w:val="000000"/>
                <w:szCs w:val="21"/>
              </w:rPr>
            </w:pPr>
            <w:r>
              <w:rPr>
                <w:rFonts w:ascii="Times New Roman" w:hAnsi="Times New Roman"/>
                <w:b/>
                <w:bCs/>
                <w:color w:val="000000"/>
                <w:szCs w:val="21"/>
              </w:rPr>
              <w:t>口译</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Cs w:val="21"/>
              </w:rPr>
            </w:pPr>
            <w:r>
              <w:rPr>
                <w:rFonts w:ascii="Times New Roman" w:hAnsi="Times New Roman"/>
                <w:bCs/>
                <w:color w:val="000000"/>
                <w:szCs w:val="21"/>
              </w:rPr>
              <w:t>三级口译每人每科90元</w:t>
            </w:r>
          </w:p>
          <w:p>
            <w:pPr>
              <w:rPr>
                <w:rFonts w:ascii="Times New Roman" w:hAnsi="Times New Roman"/>
                <w:bCs/>
                <w:color w:val="000000"/>
                <w:szCs w:val="21"/>
              </w:rPr>
            </w:pPr>
            <w:r>
              <w:rPr>
                <w:rFonts w:ascii="Times New Roman" w:hAnsi="Times New Roman"/>
                <w:bCs/>
                <w:color w:val="000000"/>
                <w:szCs w:val="21"/>
              </w:rPr>
              <w:t>二级口译交替传译每人每科100元</w:t>
            </w:r>
          </w:p>
          <w:p>
            <w:pPr>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一级口译每人每科300元</w:t>
            </w:r>
          </w:p>
          <w:p>
            <w:pPr>
              <w:rPr>
                <w:rFonts w:ascii="Times New Roman" w:hAnsi="Times New Roman"/>
                <w:color w:val="000000"/>
                <w:szCs w:val="21"/>
              </w:rPr>
            </w:pPr>
            <w:r>
              <w:rPr>
                <w:rFonts w:ascii="Times New Roman" w:hAnsi="Times New Roman"/>
                <w:bCs/>
                <w:color w:val="000000"/>
                <w:szCs w:val="21"/>
              </w:rPr>
              <w:t>同声传译每人每科400元</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Cs w:val="21"/>
              </w:rPr>
            </w:pPr>
            <w:r>
              <w:rPr>
                <w:rFonts w:ascii="Times New Roman" w:hAnsi="Times New Roman"/>
                <w:bCs/>
                <w:color w:val="000000"/>
                <w:szCs w:val="21"/>
              </w:rPr>
              <w:t>三级口译每人每科65元</w:t>
            </w:r>
          </w:p>
          <w:p>
            <w:pPr>
              <w:jc w:val="left"/>
              <w:rPr>
                <w:rFonts w:ascii="Times New Roman" w:hAnsi="Times New Roman"/>
                <w:bCs/>
                <w:color w:val="000000"/>
                <w:szCs w:val="21"/>
              </w:rPr>
            </w:pPr>
            <w:r>
              <w:rPr>
                <w:rFonts w:ascii="Times New Roman" w:hAnsi="Times New Roman"/>
                <w:bCs/>
                <w:color w:val="000000"/>
                <w:szCs w:val="21"/>
              </w:rPr>
              <w:t>二级口译交替传译每人每科65元</w:t>
            </w:r>
          </w:p>
          <w:p>
            <w:pPr>
              <w:jc w:val="left"/>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一级口译每人每科65元</w:t>
            </w:r>
          </w:p>
          <w:p>
            <w:pPr>
              <w:jc w:val="left"/>
              <w:rPr>
                <w:rFonts w:ascii="Times New Roman" w:hAnsi="Times New Roman"/>
                <w:color w:val="000000"/>
                <w:szCs w:val="21"/>
              </w:rPr>
            </w:pPr>
            <w:r>
              <w:rPr>
                <w:rFonts w:ascii="Times New Roman" w:hAnsi="Times New Roman"/>
                <w:bCs/>
                <w:color w:val="000000"/>
                <w:szCs w:val="21"/>
              </w:rPr>
              <w:t>同声传译每人每科65元</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《关于调整全国翻译专业资格（水平）考试考务费收费标准的通知》（外文考办字〔2016〕6号）和吉省价收〔2016〕248号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exac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ascii="Times New Roman" w:hAnsi="Times New Roman"/>
                <w:b/>
                <w:bCs/>
                <w:color w:val="000000"/>
                <w:szCs w:val="21"/>
              </w:rPr>
              <w:t>翻译</w:t>
            </w:r>
          </w:p>
          <w:p>
            <w:pPr>
              <w:jc w:val="center"/>
              <w:rPr>
                <w:rFonts w:ascii="Times New Roman" w:hAnsi="Times New Roman"/>
                <w:b/>
                <w:bCs/>
                <w:color w:val="000000"/>
                <w:szCs w:val="21"/>
              </w:rPr>
            </w:pPr>
            <w:r>
              <w:rPr>
                <w:rFonts w:ascii="Times New Roman" w:hAnsi="Times New Roman"/>
                <w:b/>
                <w:bCs/>
                <w:color w:val="000000"/>
                <w:szCs w:val="21"/>
              </w:rPr>
              <w:t>笔译</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Cs w:val="21"/>
              </w:rPr>
            </w:pPr>
            <w:r>
              <w:rPr>
                <w:rFonts w:ascii="Times New Roman" w:hAnsi="Times New Roman"/>
                <w:bCs/>
                <w:color w:val="000000"/>
                <w:szCs w:val="21"/>
              </w:rPr>
              <w:t>各级别笔译综合能力每人每科11元</w:t>
            </w:r>
          </w:p>
          <w:p>
            <w:pPr>
              <w:rPr>
                <w:rFonts w:ascii="Times New Roman" w:hAnsi="Times New Roman"/>
                <w:color w:val="000000"/>
                <w:szCs w:val="21"/>
              </w:rPr>
            </w:pPr>
            <w:r>
              <w:rPr>
                <w:rFonts w:ascii="Times New Roman" w:hAnsi="Times New Roman"/>
                <w:bCs/>
                <w:color w:val="000000"/>
                <w:szCs w:val="21"/>
              </w:rPr>
              <w:t>各级别笔译实务每人每科15元</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Cs w:val="21"/>
              </w:rPr>
            </w:pPr>
            <w:r>
              <w:rPr>
                <w:rFonts w:ascii="Times New Roman" w:hAnsi="Times New Roman"/>
                <w:bCs/>
                <w:color w:val="000000"/>
                <w:szCs w:val="21"/>
              </w:rPr>
              <w:t>各级别笔译综合能力每人每科65元</w:t>
            </w:r>
          </w:p>
          <w:p>
            <w:pPr>
              <w:rPr>
                <w:rFonts w:ascii="Times New Roman" w:hAnsi="Times New Roman"/>
                <w:color w:val="000000"/>
                <w:szCs w:val="21"/>
              </w:rPr>
            </w:pPr>
            <w:r>
              <w:rPr>
                <w:rFonts w:ascii="Times New Roman" w:hAnsi="Times New Roman"/>
                <w:bCs/>
                <w:color w:val="000000"/>
                <w:szCs w:val="21"/>
              </w:rPr>
              <w:t>各级别笔译综合实务每人每科65元</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同上</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000000"/>
                <w:szCs w:val="21"/>
                <w:lang w:val="en-US" w:eastAsia="zh-CN"/>
              </w:rPr>
            </w:pPr>
            <w:r>
              <w:rPr>
                <w:kern w:val="0"/>
                <w:szCs w:val="21"/>
              </w:rPr>
              <w:t xml:space="preserve"> 承担考试报名任务的市州留用考务费4元/科，承担考试组织实施任务的市州留用考试组织费</w:t>
            </w:r>
            <w:r>
              <w:rPr>
                <w:rFonts w:hint="eastAsia"/>
                <w:kern w:val="0"/>
                <w:szCs w:val="21"/>
                <w:lang w:val="en-US" w:eastAsia="zh-CN"/>
              </w:rPr>
              <w:t>4</w:t>
            </w:r>
            <w:r>
              <w:rPr>
                <w:kern w:val="0"/>
                <w:szCs w:val="21"/>
              </w:rPr>
              <w:t>0元/科</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exac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
                <w:bCs/>
                <w:color w:val="000000"/>
                <w:szCs w:val="21"/>
                <w:lang w:val="en-US" w:eastAsia="zh-CN"/>
              </w:rPr>
            </w:pPr>
            <w:r>
              <w:rPr>
                <w:rFonts w:hint="eastAsia" w:ascii="Times New Roman" w:hAnsi="Times New Roman"/>
                <w:b/>
                <w:bCs/>
                <w:color w:val="000000"/>
                <w:szCs w:val="21"/>
                <w:lang w:val="en-US" w:eastAsia="zh-CN"/>
              </w:rPr>
              <w:t>高级社会</w:t>
            </w:r>
          </w:p>
          <w:p>
            <w:pPr>
              <w:jc w:val="center"/>
              <w:rPr>
                <w:rFonts w:hint="default" w:ascii="Times New Roman" w:hAnsi="Times New Roman" w:eastAsia="宋体"/>
                <w:b/>
                <w:bCs/>
                <w:color w:val="000000"/>
                <w:szCs w:val="21"/>
                <w:lang w:val="en-US" w:eastAsia="zh-CN"/>
              </w:rPr>
            </w:pPr>
            <w:r>
              <w:rPr>
                <w:rFonts w:hint="eastAsia" w:ascii="Times New Roman" w:hAnsi="Times New Roman"/>
                <w:b/>
                <w:bCs/>
                <w:color w:val="000000"/>
                <w:szCs w:val="21"/>
                <w:lang w:val="en-US" w:eastAsia="zh-CN"/>
              </w:rPr>
              <w:t>工作师</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主观题科目每人每科19元</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Cs w:val="21"/>
              </w:rPr>
            </w:pPr>
            <w:r>
              <w:rPr>
                <w:bCs/>
                <w:color w:val="000000"/>
                <w:szCs w:val="21"/>
              </w:rPr>
              <w:t>主观题科目每人每科</w:t>
            </w:r>
            <w:r>
              <w:rPr>
                <w:rFonts w:hint="eastAsia"/>
                <w:bCs/>
                <w:color w:val="000000"/>
                <w:szCs w:val="21"/>
              </w:rPr>
              <w:t>6</w:t>
            </w:r>
            <w:r>
              <w:rPr>
                <w:rFonts w:hint="eastAsia"/>
                <w:bCs/>
                <w:color w:val="000000"/>
                <w:szCs w:val="21"/>
                <w:lang w:val="en-US" w:eastAsia="zh-CN"/>
              </w:rPr>
              <w:t>5</w:t>
            </w:r>
            <w:bookmarkStart w:id="0" w:name="_GoBack"/>
            <w:bookmarkEnd w:id="0"/>
            <w:r>
              <w:rPr>
                <w:bCs/>
                <w:color w:val="000000"/>
                <w:szCs w:val="21"/>
              </w:rPr>
              <w:t>元</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《关于印发高级社会工作师职业水平考试、一级造价工程师职业资格考试和中级注册安全工程师职业资格考试考务费收费标准的通知》（人考中心函〔2019〕41号）的规定</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rPr>
            </w:pPr>
            <w:r>
              <w:rPr>
                <w:kern w:val="0"/>
                <w:szCs w:val="21"/>
              </w:rPr>
              <w:t>承担考试报名任务的市州留用考务费4元/科。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B4763"/>
    <w:rsid w:val="019C03D5"/>
    <w:rsid w:val="10782B76"/>
    <w:rsid w:val="2A215469"/>
    <w:rsid w:val="446D76AA"/>
    <w:rsid w:val="48A735B8"/>
    <w:rsid w:val="51A742E3"/>
    <w:rsid w:val="5A7B4763"/>
    <w:rsid w:val="63B53E04"/>
    <w:rsid w:val="6E4978B5"/>
    <w:rsid w:val="77B8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2019-08-28T03:35:00Z</dcterms:created>
  <dc:creator>巧克力豆</dc:creator>
  <cp:lastModifiedBy>巧克力豆</cp:lastModifiedBy>
  <dcterms:modified xsi:type="dcterms:W3CDTF">2019-08-29T08:09:50Z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